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932">
      <w:pPr>
        <w:pStyle w:val="ConsPlusNormal"/>
        <w:jc w:val="both"/>
        <w:outlineLvl w:val="0"/>
      </w:pPr>
    </w:p>
    <w:p w:rsidR="00000000" w:rsidRDefault="00E26932">
      <w:pPr>
        <w:pStyle w:val="ConsPlusTitle"/>
        <w:jc w:val="center"/>
      </w:pPr>
      <w:r>
        <w:t>ФЕДЕРАЛЬНАЯ АНТИМОНОПОЛЬНАЯ СЛУЖБА</w:t>
      </w:r>
    </w:p>
    <w:p w:rsidR="00000000" w:rsidRDefault="00E26932">
      <w:pPr>
        <w:pStyle w:val="ConsPlusTitle"/>
        <w:jc w:val="center"/>
      </w:pPr>
      <w:r>
        <w:t>N АК/11522/23</w:t>
      </w:r>
    </w:p>
    <w:p w:rsidR="00000000" w:rsidRDefault="00E26932">
      <w:pPr>
        <w:pStyle w:val="ConsPlusTitle"/>
        <w:jc w:val="center"/>
      </w:pPr>
    </w:p>
    <w:p w:rsidR="00000000" w:rsidRDefault="00E26932">
      <w:pPr>
        <w:pStyle w:val="ConsPlusTitle"/>
        <w:jc w:val="center"/>
      </w:pPr>
      <w:bookmarkStart w:id="0" w:name="_GoBack"/>
      <w:r>
        <w:t>ЦЕНТРАЛЬНЫЙ БАНК РОССИЙСКОЙ ФЕДЕРАЦИИ</w:t>
      </w:r>
    </w:p>
    <w:bookmarkEnd w:id="0"/>
    <w:p w:rsidR="00000000" w:rsidRDefault="00E26932">
      <w:pPr>
        <w:pStyle w:val="ConsPlusTitle"/>
        <w:jc w:val="center"/>
      </w:pPr>
      <w:r>
        <w:t>N ИН-03-59/15</w:t>
      </w:r>
    </w:p>
    <w:p w:rsidR="00000000" w:rsidRDefault="00E26932">
      <w:pPr>
        <w:pStyle w:val="ConsPlusTitle"/>
        <w:jc w:val="center"/>
      </w:pPr>
    </w:p>
    <w:p w:rsidR="00000000" w:rsidRDefault="00E26932">
      <w:pPr>
        <w:pStyle w:val="ConsPlusTitle"/>
        <w:jc w:val="center"/>
      </w:pPr>
      <w:r>
        <w:t>ИНФОРМАЦИОННОЕ ПИСЬМО</w:t>
      </w:r>
    </w:p>
    <w:p w:rsidR="00000000" w:rsidRDefault="00E26932">
      <w:pPr>
        <w:pStyle w:val="ConsPlusTitle"/>
        <w:jc w:val="center"/>
      </w:pPr>
      <w:r>
        <w:t>от 17 февраля 2023 года</w:t>
      </w:r>
    </w:p>
    <w:p w:rsidR="00000000" w:rsidRDefault="00E26932">
      <w:pPr>
        <w:pStyle w:val="ConsPlusTitle"/>
        <w:jc w:val="center"/>
      </w:pPr>
    </w:p>
    <w:p w:rsidR="00000000" w:rsidRDefault="00E26932">
      <w:pPr>
        <w:pStyle w:val="ConsPlusTitle"/>
        <w:jc w:val="center"/>
      </w:pPr>
      <w:r>
        <w:t>О РАСКРЫТИИ ИНФОРМАЦИИ ПО НАКОПИТЕЛЬНЫМ ПРОДУКТАМ</w:t>
      </w:r>
    </w:p>
    <w:p w:rsidR="00000000" w:rsidRDefault="00E26932">
      <w:pPr>
        <w:pStyle w:val="ConsPlusNormal"/>
        <w:ind w:firstLine="540"/>
        <w:jc w:val="both"/>
      </w:pPr>
    </w:p>
    <w:p w:rsidR="00000000" w:rsidRDefault="00E26932">
      <w:pPr>
        <w:pStyle w:val="ConsPlusNormal"/>
        <w:ind w:firstLine="540"/>
        <w:jc w:val="both"/>
      </w:pPr>
      <w:r>
        <w:t>В целях содействия формированию благоприятной конкурентной среды на рынке банковских услуг, соблюдения прав и законных интересов физических лиц - клиентов кредитных организаций (да</w:t>
      </w:r>
      <w:r>
        <w:t>лее - потребители) ФАС России и Банк России рекомендуют кредитным организациям учитывать следующее.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Важным потребительским свойством банковских услуг (продуктов), предусматривающих начисление процентов на остаток собственных денежных средств по счетам потр</w:t>
      </w:r>
      <w:r>
        <w:t>ебителей, к которым относятся текущие банковские счета &lt;1&gt; (в том числе "карточные счета" и "накопительные счета" &lt;2&gt;) (далее - накопительные продукты), является начисление процентов &lt;3&gt; на остаток поступивших на счет денежных средств. Данное свойство стим</w:t>
      </w:r>
      <w:r>
        <w:t>улирует потребителей размещать денежные средства в кредитной организации для получения дополнительного дохода и дает ей возможность использовать временно свободные денежные средства потребителей.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 xml:space="preserve">&lt;1&gt; Согласно </w:t>
      </w:r>
      <w:hyperlink r:id="rId7" w:history="1">
        <w:r>
          <w:rPr>
            <w:color w:val="0000FF"/>
          </w:rPr>
          <w:t>части 1 статьи 845</w:t>
        </w:r>
      </w:hyperlink>
      <w:r>
        <w:t xml:space="preserve"> Гражданского кодекса Российской Федерации.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&lt;2&gt; Термины, используемые кредитными организациями в маркетинговых целях.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 xml:space="preserve">&lt;3&gt; Согласно </w:t>
      </w:r>
      <w:hyperlink r:id="rId8" w:history="1">
        <w:r>
          <w:rPr>
            <w:color w:val="0000FF"/>
          </w:rPr>
          <w:t>части 1 статьи 852</w:t>
        </w:r>
      </w:hyperlink>
      <w:r>
        <w:t xml:space="preserve"> Гражданского кодекса Российской Федерации.</w:t>
      </w:r>
    </w:p>
    <w:p w:rsidR="00000000" w:rsidRDefault="00E26932">
      <w:pPr>
        <w:pStyle w:val="ConsPlusNormal"/>
        <w:jc w:val="both"/>
      </w:pPr>
    </w:p>
    <w:p w:rsidR="00000000" w:rsidRDefault="00E26932">
      <w:pPr>
        <w:pStyle w:val="ConsPlusNormal"/>
        <w:ind w:firstLine="540"/>
        <w:jc w:val="both"/>
      </w:pPr>
      <w:r>
        <w:t>При этом ФАС России и Банк России неоднократно выявляли практики ненадлежащего раскрыт</w:t>
      </w:r>
      <w:r>
        <w:t>ия кредитными организациями на своих официальных сайтах в информационно-телекоммуникационной сети "Интернет" (далее - сайты) информации об условиях накопительных продуктов и размере возможного дохода по ним. В частности, в ФАС России и Банк России неоднокр</w:t>
      </w:r>
      <w:r>
        <w:t>атно поступали обращения граждан, связанные с недоведением до их сведения значимой информации о наличии условий, влияющих на размер дохода, получаемого потребителями по накопительным продуктам &lt;4&gt;.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&lt;4&gt; Анализ сведений, разм</w:t>
      </w:r>
      <w:r>
        <w:t>ещенных на сайтах кредитных организаций, показал, что большинство хозяйствующих субъектов, предлагающих потребителям подобные накопительные продукты, устанавливают условия, от соблюдения которых зависит размер дохода потребителя.</w:t>
      </w:r>
    </w:p>
    <w:p w:rsidR="00000000" w:rsidRDefault="00E26932">
      <w:pPr>
        <w:pStyle w:val="ConsPlusNormal"/>
        <w:ind w:firstLine="540"/>
        <w:jc w:val="both"/>
      </w:pPr>
    </w:p>
    <w:p w:rsidR="00000000" w:rsidRDefault="00E26932">
      <w:pPr>
        <w:pStyle w:val="ConsPlusNormal"/>
        <w:ind w:firstLine="540"/>
        <w:jc w:val="both"/>
      </w:pPr>
      <w:r>
        <w:lastRenderedPageBreak/>
        <w:t>Некоторые кредитные орган</w:t>
      </w:r>
      <w:r>
        <w:t>изации для привлечения потребителей при продвижении накопительных продуктов &lt;5&gt; акцентированно указывали на возможность получения процентов на остаток денежных средств, не указывая при этом на наличие менее привлекательных условий, непосредственно влияющих</w:t>
      </w:r>
      <w:r>
        <w:t xml:space="preserve"> на размер дохода потребителя (например, зависимость процентной ставки от суммы или срока нахождения денежных средств на счете), а также на необходимость ознакомления с документами, закрепляющими указанные условия.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 xml:space="preserve">&lt;5&gt; При </w:t>
      </w:r>
      <w:r>
        <w:t>описании условий на соответствующих страницах сайтов.</w:t>
      </w:r>
    </w:p>
    <w:p w:rsidR="00000000" w:rsidRDefault="00E26932">
      <w:pPr>
        <w:pStyle w:val="ConsPlusNormal"/>
        <w:ind w:firstLine="540"/>
        <w:jc w:val="both"/>
      </w:pPr>
    </w:p>
    <w:p w:rsidR="00000000" w:rsidRDefault="00E26932">
      <w:pPr>
        <w:pStyle w:val="ConsPlusNormal"/>
        <w:ind w:firstLine="540"/>
        <w:jc w:val="both"/>
      </w:pPr>
      <w:r>
        <w:t>Вместе с тем проведенный ФАС России и Банком России анализ сведений, размещенных на сайтах кредитных организаций, показал, что некоторые кредитные организации не раскрывают информацию об условиях, пред</w:t>
      </w:r>
      <w:r>
        <w:t>усматривающих изменение процентных ставок по накопительным продуктам. Однако такие условия влияют на размер возможного дохода, получаемого потребителями по данным продуктам и напрямую зависящего от размеров процентных ставок.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В ряде случаев раскрытие указа</w:t>
      </w:r>
      <w:r>
        <w:t>нной информации осуществлялось исключительно в документах, закрепляющих полные условия и правила обслуживания соответствующих накопительных продуктов, для ознакомления с которыми потенциальным потребителям необходимо совершить ряд последовательных дополнит</w:t>
      </w:r>
      <w:r>
        <w:t>ельных действий (например, переход по ссылке или нажатие кнопки).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Совершение кредитными организациями подобных действий, вводящих в заблуждение потребителей, может приводить к возникновению необоснованных преимуществ перед конкурентами и нарушению обществе</w:t>
      </w:r>
      <w:r>
        <w:t xml:space="preserve">нных отношений в сфере конкуренции &lt;6&gt;, а также с учетом конкретных обстоятельств рассматриваться как нарушение </w:t>
      </w:r>
      <w:hyperlink r:id="rId9" w:history="1">
        <w:r>
          <w:rPr>
            <w:color w:val="0000FF"/>
          </w:rPr>
          <w:t>пункта 1 статьи 14.2</w:t>
        </w:r>
      </w:hyperlink>
      <w:r>
        <w:t xml:space="preserve"> Федеральн</w:t>
      </w:r>
      <w:r>
        <w:t>ого закона от 26.07.2006 N 135-ФЗ "О защите конкуренции". Кроме того, указанное поведение кредитных организаций способно негативно отразиться на доверии потребителей к банковской системе в целом.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&lt;6&gt; Как установлено ФАС России в рамках дел о нарушении антимонопольного законодательства, многие потребители не заключали бы договоры накопительных продуктов с данными кредитными организациями, если бы знали о совершении ими названных действий, а обратили</w:t>
      </w:r>
      <w:r>
        <w:t>сь бы в другие кредитные организации.</w:t>
      </w:r>
    </w:p>
    <w:p w:rsidR="00000000" w:rsidRDefault="00E26932">
      <w:pPr>
        <w:pStyle w:val="ConsPlusNormal"/>
        <w:ind w:firstLine="540"/>
        <w:jc w:val="both"/>
      </w:pPr>
    </w:p>
    <w:p w:rsidR="00000000" w:rsidRDefault="00E26932">
      <w:pPr>
        <w:pStyle w:val="ConsPlusNormal"/>
        <w:ind w:firstLine="540"/>
        <w:jc w:val="both"/>
      </w:pPr>
      <w:r>
        <w:t>Подобные действия пресекаются антимонопольными органами в рамках имеющихся полномочий, в частности, путем выдачи предупреждений, возбуждения и рассмотрения дел о нарушении антимонопольного законодательства на основани</w:t>
      </w:r>
      <w:r>
        <w:t>и поступивших обращений от потребителей &lt;7&gt;.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 xml:space="preserve">&lt;7&gt; В связи с нарушением </w:t>
      </w:r>
      <w:hyperlink r:id="rId10" w:history="1">
        <w:r>
          <w:rPr>
            <w:color w:val="0000FF"/>
          </w:rPr>
          <w:t>статьи 14.2</w:t>
        </w:r>
      </w:hyperlink>
      <w:r>
        <w:t xml:space="preserve"> Федерального закона от 26.0</w:t>
      </w:r>
      <w:r>
        <w:t>7.2006 N 135-ФЗ "О защите конкуренции".</w:t>
      </w:r>
    </w:p>
    <w:p w:rsidR="00000000" w:rsidRDefault="00E26932">
      <w:pPr>
        <w:pStyle w:val="ConsPlusNormal"/>
        <w:ind w:firstLine="540"/>
        <w:jc w:val="both"/>
      </w:pPr>
    </w:p>
    <w:p w:rsidR="00000000" w:rsidRDefault="00E26932">
      <w:pPr>
        <w:pStyle w:val="ConsPlusNormal"/>
        <w:ind w:firstLine="540"/>
        <w:jc w:val="both"/>
      </w:pPr>
      <w:r>
        <w:lastRenderedPageBreak/>
        <w:t>Учитывая изложенное, ФАС России и Банк России полагают, что более прозрачному раскрытию информации о наличии условий, от соблюдения которых зависит размер получаемого потребителями по накопительным продуктам дохода,</w:t>
      </w:r>
      <w:r>
        <w:t xml:space="preserve"> может способствовать размещение информации обо всех таких условиях и соответствующих данным условиям процентных ставках равнозначным по размеру шрифтом без использования графических приемов (различий в фоне, цвете и теме шрифта), позволяющих отображать од</w:t>
      </w:r>
      <w:r>
        <w:t xml:space="preserve">ни параметры (их значения и варианты) менее заметно по сравнению с другими, и в одном месте, то есть таким образом, чтобы для получения данной информации потребителю не требовалось совершать дополнительных действий (например, переход по ссылке или нажатие </w:t>
      </w:r>
      <w:r>
        <w:t>кнопки). В частности, при любых указаниях на размер процентных ставок информацию об условиях, предусматривающих изменение процентных ставок по накопительным продуктам, рекомендуется раскрывать непосредственно вместе с информацией об их размере (с учетом из</w:t>
      </w:r>
      <w:r>
        <w:t>ложенных рекомендаций к формату представления информации).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Раскрывать данную информацию ФАС России и Банк России рекомендуют на сайтах кредитных организаций (на страницах соответствующих накопительных продуктов), в документах, содержащих условия по накопит</w:t>
      </w:r>
      <w:r>
        <w:t>ельным продуктам (в том числе выдаваемых потребителям на руки при открытии накопительных продуктов), а также в иных информационных материалах, используемых кредитными организациями при взаимодействии с потребителями.</w:t>
      </w:r>
    </w:p>
    <w:p w:rsidR="00000000" w:rsidRDefault="00E26932">
      <w:pPr>
        <w:pStyle w:val="ConsPlusNormal"/>
        <w:spacing w:before="240"/>
        <w:ind w:firstLine="540"/>
        <w:jc w:val="both"/>
      </w:pPr>
      <w:r>
        <w:t>Настоящее информационное письмо подлежи</w:t>
      </w:r>
      <w:r>
        <w:t>т размещению на официальных сайтах ФАС России и Банка России в информационно-телекоммуникационной сети "Интернет".</w:t>
      </w:r>
    </w:p>
    <w:p w:rsidR="00000000" w:rsidRDefault="00E26932">
      <w:pPr>
        <w:pStyle w:val="ConsPlusNormal"/>
        <w:ind w:firstLine="540"/>
        <w:jc w:val="both"/>
      </w:pPr>
    </w:p>
    <w:p w:rsidR="00000000" w:rsidRDefault="00E26932">
      <w:pPr>
        <w:pStyle w:val="ConsPlusNormal"/>
        <w:jc w:val="right"/>
      </w:pPr>
      <w:r>
        <w:t>Заместитель</w:t>
      </w:r>
    </w:p>
    <w:p w:rsidR="00000000" w:rsidRDefault="00E26932">
      <w:pPr>
        <w:pStyle w:val="ConsPlusNormal"/>
        <w:jc w:val="right"/>
      </w:pPr>
      <w:r>
        <w:t>руководителя ФАС России</w:t>
      </w:r>
    </w:p>
    <w:p w:rsidR="00000000" w:rsidRDefault="00E26932">
      <w:pPr>
        <w:pStyle w:val="ConsPlusNormal"/>
        <w:jc w:val="right"/>
      </w:pPr>
      <w:r>
        <w:t>А.Б.КАШЕВАРОВ</w:t>
      </w:r>
    </w:p>
    <w:p w:rsidR="00000000" w:rsidRDefault="00E26932">
      <w:pPr>
        <w:pStyle w:val="ConsPlusNormal"/>
        <w:jc w:val="both"/>
      </w:pPr>
    </w:p>
    <w:p w:rsidR="00000000" w:rsidRDefault="00E26932">
      <w:pPr>
        <w:pStyle w:val="ConsPlusNormal"/>
        <w:jc w:val="right"/>
      </w:pPr>
      <w:r>
        <w:t>Первый заместитель</w:t>
      </w:r>
    </w:p>
    <w:p w:rsidR="00000000" w:rsidRDefault="00E26932">
      <w:pPr>
        <w:pStyle w:val="ConsPlusNormal"/>
        <w:jc w:val="right"/>
      </w:pPr>
      <w:r>
        <w:t>Председателя Банка России</w:t>
      </w:r>
    </w:p>
    <w:p w:rsidR="00000000" w:rsidRDefault="00E26932">
      <w:pPr>
        <w:pStyle w:val="ConsPlusNormal"/>
        <w:jc w:val="right"/>
      </w:pPr>
      <w:r>
        <w:t>Д.В.ТУЛИН</w:t>
      </w:r>
    </w:p>
    <w:p w:rsidR="00000000" w:rsidRDefault="00E26932">
      <w:pPr>
        <w:pStyle w:val="ConsPlusNormal"/>
        <w:jc w:val="both"/>
      </w:pPr>
    </w:p>
    <w:p w:rsidR="00000000" w:rsidRDefault="00E26932">
      <w:pPr>
        <w:pStyle w:val="ConsPlusNormal"/>
        <w:jc w:val="both"/>
      </w:pPr>
    </w:p>
    <w:p w:rsidR="00000000" w:rsidRDefault="00E26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932">
      <w:pPr>
        <w:spacing w:after="0" w:line="240" w:lineRule="auto"/>
      </w:pPr>
      <w:r>
        <w:separator/>
      </w:r>
    </w:p>
  </w:endnote>
  <w:endnote w:type="continuationSeparator" w:id="0">
    <w:p w:rsidR="00000000" w:rsidRDefault="00E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69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9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9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9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269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69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9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9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9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269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932">
      <w:pPr>
        <w:spacing w:after="0" w:line="240" w:lineRule="auto"/>
      </w:pPr>
      <w:r>
        <w:separator/>
      </w:r>
    </w:p>
  </w:footnote>
  <w:footnote w:type="continuationSeparator" w:id="0">
    <w:p w:rsidR="00000000" w:rsidRDefault="00E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26932" w:rsidRDefault="00E26932" w:rsidP="00E26932">
    <w:pPr>
      <w:pStyle w:val="a3"/>
    </w:pPr>
    <w:r w:rsidRPr="00E2693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26932" w:rsidRDefault="00E26932" w:rsidP="00E26932">
    <w:pPr>
      <w:pStyle w:val="a3"/>
    </w:pPr>
    <w:r w:rsidRPr="00E2693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32"/>
    <w:rsid w:val="00E2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6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932"/>
  </w:style>
  <w:style w:type="paragraph" w:styleId="a5">
    <w:name w:val="footer"/>
    <w:basedOn w:val="a"/>
    <w:link w:val="a6"/>
    <w:uiPriority w:val="99"/>
    <w:unhideWhenUsed/>
    <w:rsid w:val="00E26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6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932"/>
  </w:style>
  <w:style w:type="paragraph" w:styleId="a5">
    <w:name w:val="footer"/>
    <w:basedOn w:val="a"/>
    <w:link w:val="a6"/>
    <w:uiPriority w:val="99"/>
    <w:unhideWhenUsed/>
    <w:rsid w:val="00E26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7025&amp;date=28.02.2023&amp;dst=326&amp;fie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77025&amp;date=28.02.2023&amp;dst=294&amp;fie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36352&amp;date=28.02.2023&amp;dst=75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36352&amp;date=28.02.2023&amp;dst=760&amp;fie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5939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ФАС России N АК/11522/23, Банка России N ИН-03-59/15 от 17.02.2023"О раскрытии информации по накопительным продуктам"</vt:lpstr>
    </vt:vector>
  </TitlesOfParts>
  <Company>КонсультантПлюс Версия 4022.00.55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ФАС России N АК/11522/23, Банка России N ИН-03-59/15 от 17.02.2023"О раскрытии информации по накопительным продуктам"</dc:title>
  <dc:creator>Пользователь Windows</dc:creator>
  <cp:lastModifiedBy>Пользователь Windows</cp:lastModifiedBy>
  <cp:revision>2</cp:revision>
  <dcterms:created xsi:type="dcterms:W3CDTF">2023-02-28T07:41:00Z</dcterms:created>
  <dcterms:modified xsi:type="dcterms:W3CDTF">2023-02-28T07:41:00Z</dcterms:modified>
</cp:coreProperties>
</file>